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DA" w:rsidRPr="001B3BDA" w:rsidRDefault="001B3BDA" w:rsidP="001B3BDA">
      <w:pPr>
        <w:shd w:val="clear" w:color="auto" w:fill="FFFFFF"/>
        <w:spacing w:before="300" w:after="150" w:line="240" w:lineRule="auto"/>
        <w:outlineLvl w:val="1"/>
        <w:rPr>
          <w:rFonts w:ascii="inherit" w:eastAsia="Times New Roman" w:hAnsi="inherit" w:cs="Helvetica"/>
          <w:color w:val="333333"/>
          <w:sz w:val="38"/>
          <w:szCs w:val="38"/>
        </w:rPr>
      </w:pPr>
      <w:r w:rsidRPr="001B3BDA">
        <w:rPr>
          <w:rFonts w:ascii="inherit" w:eastAsia="Times New Roman" w:hAnsi="inherit" w:cs="Helvetica"/>
          <w:color w:val="333333"/>
          <w:sz w:val="38"/>
          <w:szCs w:val="38"/>
        </w:rPr>
        <w:t>Welcome</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 xml:space="preserve">Below is information regarding Home Schooling Laws, Data and </w:t>
      </w:r>
      <w:proofErr w:type="gramStart"/>
      <w:r w:rsidRPr="001B3BDA">
        <w:rPr>
          <w:rFonts w:ascii="Helvetica" w:eastAsia="Times New Roman" w:hAnsi="Helvetica" w:cs="Helvetica"/>
          <w:color w:val="333333"/>
          <w:sz w:val="21"/>
          <w:szCs w:val="21"/>
        </w:rPr>
        <w:t>Resources.</w:t>
      </w:r>
      <w:proofErr w:type="gramEnd"/>
    </w:p>
    <w:p w:rsidR="001B3BDA" w:rsidRPr="001B3BDA" w:rsidRDefault="001B3BDA" w:rsidP="001B3BDA">
      <w:pPr>
        <w:shd w:val="clear" w:color="auto" w:fill="FFFFFF"/>
        <w:spacing w:before="300" w:after="150" w:line="240" w:lineRule="auto"/>
        <w:outlineLvl w:val="1"/>
        <w:rPr>
          <w:rFonts w:ascii="inherit" w:eastAsia="Times New Roman" w:hAnsi="inherit" w:cs="Helvetica"/>
          <w:color w:val="333333"/>
          <w:sz w:val="38"/>
          <w:szCs w:val="38"/>
        </w:rPr>
      </w:pPr>
      <w:r w:rsidRPr="001B3BDA">
        <w:rPr>
          <w:rFonts w:ascii="inherit" w:eastAsia="Times New Roman" w:hAnsi="inherit" w:cs="Helvetica"/>
          <w:color w:val="333333"/>
          <w:sz w:val="38"/>
          <w:szCs w:val="38"/>
        </w:rPr>
        <w:t>Laws</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 xml:space="preserve">Oregon Revised Statutes (ORS) and Oregon Administrative Rules (OAR) with information for families considering home schooling their </w:t>
      </w:r>
      <w:proofErr w:type="gramStart"/>
      <w:r w:rsidRPr="001B3BDA">
        <w:rPr>
          <w:rFonts w:ascii="Helvetica" w:eastAsia="Times New Roman" w:hAnsi="Helvetica" w:cs="Helvetica"/>
          <w:color w:val="333333"/>
          <w:sz w:val="21"/>
          <w:szCs w:val="21"/>
        </w:rPr>
        <w:t>child(</w:t>
      </w:r>
      <w:proofErr w:type="spellStart"/>
      <w:proofErr w:type="gramEnd"/>
      <w:r w:rsidRPr="001B3BDA">
        <w:rPr>
          <w:rFonts w:ascii="Helvetica" w:eastAsia="Times New Roman" w:hAnsi="Helvetica" w:cs="Helvetica"/>
          <w:color w:val="333333"/>
          <w:sz w:val="21"/>
          <w:szCs w:val="21"/>
        </w:rPr>
        <w:t>ren</w:t>
      </w:r>
      <w:proofErr w:type="spellEnd"/>
      <w:r w:rsidRPr="001B3BDA">
        <w:rPr>
          <w:rFonts w:ascii="Helvetica" w:eastAsia="Times New Roman" w:hAnsi="Helvetica" w:cs="Helvetica"/>
          <w:color w:val="333333"/>
          <w:sz w:val="21"/>
          <w:szCs w:val="21"/>
        </w:rPr>
        <w:t>).</w:t>
      </w:r>
    </w:p>
    <w:p w:rsidR="001B3BDA" w:rsidRPr="001B3BDA" w:rsidRDefault="001B3BDA" w:rsidP="001B3BDA">
      <w:pPr>
        <w:shd w:val="clear" w:color="auto" w:fill="FFFFFF"/>
        <w:spacing w:before="300" w:after="150" w:line="240" w:lineRule="auto"/>
        <w:outlineLvl w:val="2"/>
        <w:rPr>
          <w:rFonts w:ascii="inherit" w:eastAsia="Times New Roman" w:hAnsi="inherit" w:cs="Helvetica"/>
          <w:color w:val="333333"/>
          <w:sz w:val="34"/>
          <w:szCs w:val="34"/>
        </w:rPr>
      </w:pPr>
      <w:r w:rsidRPr="001B3BDA">
        <w:rPr>
          <w:rFonts w:ascii="inherit" w:eastAsia="Times New Roman" w:hAnsi="inherit" w:cs="Helvetica"/>
          <w:color w:val="333333"/>
          <w:sz w:val="34"/>
          <w:szCs w:val="34"/>
        </w:rPr>
        <w:t>ORS Chapter 339 - School Attendance; Admission; Discipline; Safety</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hyperlink r:id="rId6" w:history="1">
        <w:r w:rsidRPr="001B3BDA">
          <w:rPr>
            <w:rFonts w:ascii="Helvetica" w:eastAsia="Times New Roman" w:hAnsi="Helvetica" w:cs="Helvetica"/>
            <w:color w:val="804180"/>
            <w:sz w:val="21"/>
            <w:szCs w:val="21"/>
            <w:u w:val="single"/>
          </w:rPr>
          <w:t>To view each statute of Chapter 339 click here.</w:t>
        </w:r>
      </w:hyperlink>
      <w:r w:rsidRPr="001B3BDA">
        <w:rPr>
          <w:rFonts w:ascii="Helvetica" w:eastAsia="Times New Roman" w:hAnsi="Helvetica" w:cs="Helvetica"/>
          <w:color w:val="333333"/>
          <w:sz w:val="21"/>
          <w:szCs w:val="21"/>
        </w:rPr>
        <w:t> Once you have followed the link you may scroll down the page to the desired section; or you may enter Ctrl-F then enter the desired specific section in the pop up box in the upper right portion of the page. The selected section will be highlighted, and the box will tell you how many search results for that number.</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The sections listed below pertain specifically to Home Schooling Statutes.</w:t>
      </w:r>
    </w:p>
    <w:p w:rsidR="001B3BDA" w:rsidRPr="001B3BDA" w:rsidRDefault="001B3BDA" w:rsidP="001B3BDA">
      <w:pPr>
        <w:numPr>
          <w:ilvl w:val="0"/>
          <w:numId w:val="1"/>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ORS 339.010 - School attendance required</w:t>
      </w:r>
    </w:p>
    <w:p w:rsidR="001B3BDA" w:rsidRPr="001B3BDA" w:rsidRDefault="001B3BDA" w:rsidP="001B3BDA">
      <w:pPr>
        <w:numPr>
          <w:ilvl w:val="0"/>
          <w:numId w:val="1"/>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ORS 339.020 Duty to send children to school</w:t>
      </w:r>
    </w:p>
    <w:p w:rsidR="001B3BDA" w:rsidRPr="001B3BDA" w:rsidRDefault="001B3BDA" w:rsidP="001B3BDA">
      <w:pPr>
        <w:numPr>
          <w:ilvl w:val="0"/>
          <w:numId w:val="1"/>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ORS 339.060 Exemptions from compulsory attendance</w:t>
      </w:r>
    </w:p>
    <w:p w:rsidR="001B3BDA" w:rsidRPr="001B3BDA" w:rsidRDefault="001B3BDA" w:rsidP="001B3BDA">
      <w:pPr>
        <w:numPr>
          <w:ilvl w:val="0"/>
          <w:numId w:val="1"/>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ORS 339.035 Teaching by private teacher, parent or guardian</w:t>
      </w:r>
    </w:p>
    <w:p w:rsidR="001B3BDA" w:rsidRPr="001B3BDA" w:rsidRDefault="001B3BDA" w:rsidP="001B3BDA">
      <w:pPr>
        <w:numPr>
          <w:ilvl w:val="0"/>
          <w:numId w:val="1"/>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ORS 339.460 Homeschooled students’ participation in interscholastic activities</w:t>
      </w:r>
    </w:p>
    <w:p w:rsidR="001B3BDA" w:rsidRPr="001B3BDA" w:rsidRDefault="001B3BDA" w:rsidP="001B3BDA">
      <w:pPr>
        <w:shd w:val="clear" w:color="auto" w:fill="FFFFFF"/>
        <w:spacing w:before="300" w:after="150" w:line="240" w:lineRule="auto"/>
        <w:outlineLvl w:val="2"/>
        <w:rPr>
          <w:rFonts w:ascii="inherit" w:eastAsia="Times New Roman" w:hAnsi="inherit" w:cs="Helvetica"/>
          <w:color w:val="333333"/>
          <w:sz w:val="34"/>
          <w:szCs w:val="34"/>
        </w:rPr>
      </w:pPr>
      <w:r w:rsidRPr="001B3BDA">
        <w:rPr>
          <w:rFonts w:ascii="inherit" w:eastAsia="Times New Roman" w:hAnsi="inherit" w:cs="Helvetica"/>
          <w:color w:val="333333"/>
          <w:sz w:val="34"/>
          <w:szCs w:val="34"/>
        </w:rPr>
        <w:t>Oregon Administrative Rules (OAR), Division 21 - School Governance</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hyperlink r:id="rId7" w:history="1">
        <w:r w:rsidRPr="001B3BDA">
          <w:rPr>
            <w:rFonts w:ascii="Helvetica" w:eastAsia="Times New Roman" w:hAnsi="Helvetica" w:cs="Helvetica"/>
            <w:color w:val="804180"/>
            <w:sz w:val="21"/>
            <w:szCs w:val="21"/>
            <w:u w:val="single"/>
          </w:rPr>
          <w:t>To view each statute of Division 21 click here.</w:t>
        </w:r>
      </w:hyperlink>
      <w:r w:rsidRPr="001B3BDA">
        <w:rPr>
          <w:rFonts w:ascii="Helvetica" w:eastAsia="Times New Roman" w:hAnsi="Helvetica" w:cs="Helvetica"/>
          <w:color w:val="333333"/>
          <w:sz w:val="21"/>
          <w:szCs w:val="21"/>
        </w:rPr>
        <w:t> Once you have followed the link you may scroll down the page to the desired section; or you may enter Ctrl-F then enter the desired specific section in the pop up box in the upper right portion of the page. The selected section will be highlighted, and the box will tell you how many search results for that number.</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The sections listed below pertain specifically to Home Schooling Rules.</w:t>
      </w:r>
    </w:p>
    <w:p w:rsidR="001B3BDA" w:rsidRPr="001B3BDA" w:rsidRDefault="001B3BDA" w:rsidP="001B3BDA">
      <w:pPr>
        <w:numPr>
          <w:ilvl w:val="0"/>
          <w:numId w:val="2"/>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OAR 581-021-0026 Examination of Children Instructed by Parent, Legal Guardian or Private Teacher</w:t>
      </w:r>
    </w:p>
    <w:p w:rsidR="001B3BDA" w:rsidRPr="001B3BDA" w:rsidRDefault="001B3BDA" w:rsidP="001B3BDA">
      <w:pPr>
        <w:numPr>
          <w:ilvl w:val="0"/>
          <w:numId w:val="2"/>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OAR 581-021-0029 Home Schooling for Children with Disabilities</w:t>
      </w:r>
    </w:p>
    <w:p w:rsidR="001B3BDA" w:rsidRPr="001B3BDA" w:rsidRDefault="001B3BDA" w:rsidP="001B3BDA">
      <w:pPr>
        <w:numPr>
          <w:ilvl w:val="0"/>
          <w:numId w:val="2"/>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OAR 581-021-0033 Interscholastic Activities Eligibility Requirement for Home School Students</w:t>
      </w:r>
    </w:p>
    <w:p w:rsidR="001B3BDA" w:rsidRPr="001B3BDA" w:rsidRDefault="001B3BDA" w:rsidP="001B3BDA">
      <w:pPr>
        <w:numPr>
          <w:ilvl w:val="0"/>
          <w:numId w:val="2"/>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OAR 581-021-0034 Administration of Interscholastic Activities</w:t>
      </w:r>
    </w:p>
    <w:p w:rsidR="001B3BDA" w:rsidRPr="001B3BDA" w:rsidRDefault="001B3BDA" w:rsidP="001B3BDA">
      <w:pPr>
        <w:numPr>
          <w:ilvl w:val="0"/>
          <w:numId w:val="2"/>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OAR 581-021-0035 Appeal of Ineligibility Decisions</w:t>
      </w:r>
    </w:p>
    <w:p w:rsidR="001B3BDA" w:rsidRPr="001B3BDA" w:rsidRDefault="001B3BDA" w:rsidP="001B3BDA">
      <w:pPr>
        <w:numPr>
          <w:ilvl w:val="0"/>
          <w:numId w:val="2"/>
        </w:numPr>
        <w:shd w:val="clear" w:color="auto" w:fill="FFFFFF"/>
        <w:spacing w:before="150"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OAR 581-021-0076 Exemption from Compulsory Attendance</w:t>
      </w:r>
    </w:p>
    <w:p w:rsidR="001B3BDA" w:rsidRPr="001B3BDA" w:rsidRDefault="001B3BDA" w:rsidP="001B3BDA">
      <w:pPr>
        <w:shd w:val="clear" w:color="auto" w:fill="FFFFFF"/>
        <w:spacing w:before="300" w:after="150" w:line="240" w:lineRule="auto"/>
        <w:outlineLvl w:val="2"/>
        <w:rPr>
          <w:rFonts w:ascii="inherit" w:eastAsia="Times New Roman" w:hAnsi="inherit" w:cs="Helvetica"/>
          <w:color w:val="333333"/>
          <w:sz w:val="34"/>
          <w:szCs w:val="34"/>
        </w:rPr>
      </w:pPr>
      <w:r w:rsidRPr="001B3BDA">
        <w:rPr>
          <w:rFonts w:ascii="inherit" w:eastAsia="Times New Roman" w:hAnsi="inherit" w:cs="Helvetica"/>
          <w:color w:val="333333"/>
          <w:sz w:val="34"/>
          <w:szCs w:val="34"/>
        </w:rPr>
        <w:lastRenderedPageBreak/>
        <w:t>Data</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Data on home schooling is submitted by Education Service Districts (ESDs) and collected by Oregon Department of Education (ODE). This data provides information on the number of registered home schooled students.</w:t>
      </w:r>
    </w:p>
    <w:p w:rsidR="001B3BDA" w:rsidRPr="001B3BDA" w:rsidRDefault="001B3BDA" w:rsidP="001B3BDA">
      <w:pPr>
        <w:numPr>
          <w:ilvl w:val="0"/>
          <w:numId w:val="3"/>
        </w:numPr>
        <w:shd w:val="clear" w:color="auto" w:fill="FFFFFF"/>
        <w:spacing w:before="150" w:after="150" w:line="240" w:lineRule="auto"/>
        <w:ind w:left="495"/>
        <w:rPr>
          <w:rFonts w:ascii="Helvetica" w:eastAsia="Times New Roman" w:hAnsi="Helvetica" w:cs="Helvetica"/>
          <w:color w:val="333333"/>
          <w:sz w:val="21"/>
          <w:szCs w:val="21"/>
        </w:rPr>
      </w:pPr>
      <w:hyperlink r:id="rId8" w:history="1">
        <w:r w:rsidRPr="001B3BDA">
          <w:rPr>
            <w:rFonts w:ascii="Helvetica" w:eastAsia="Times New Roman" w:hAnsi="Helvetica" w:cs="Helvetica"/>
            <w:color w:val="804180"/>
            <w:sz w:val="21"/>
            <w:szCs w:val="21"/>
            <w:u w:val="single"/>
          </w:rPr>
          <w:t>2015-2016 Home Schooling Statistics, Data Forms Submitted by Education Service Districts (ESDs)</w:t>
        </w:r>
      </w:hyperlink>
    </w:p>
    <w:p w:rsidR="001B3BDA" w:rsidRPr="001B3BDA" w:rsidRDefault="001B3BDA" w:rsidP="001B3BDA">
      <w:pPr>
        <w:shd w:val="clear" w:color="auto" w:fill="FFFFFF"/>
        <w:spacing w:before="300" w:after="150" w:line="240" w:lineRule="auto"/>
        <w:outlineLvl w:val="2"/>
        <w:rPr>
          <w:rFonts w:ascii="inherit" w:eastAsia="Times New Roman" w:hAnsi="inherit" w:cs="Helvetica"/>
          <w:color w:val="333333"/>
          <w:sz w:val="34"/>
          <w:szCs w:val="34"/>
        </w:rPr>
      </w:pPr>
      <w:r w:rsidRPr="001B3BDA">
        <w:rPr>
          <w:rFonts w:ascii="inherit" w:eastAsia="Times New Roman" w:hAnsi="inherit" w:cs="Helvetica"/>
          <w:color w:val="333333"/>
          <w:sz w:val="34"/>
          <w:szCs w:val="34"/>
        </w:rPr>
        <w:t>Resources</w:t>
      </w:r>
    </w:p>
    <w:p w:rsidR="001B3BDA" w:rsidRPr="001B3BDA" w:rsidRDefault="001B3BDA" w:rsidP="001B3BDA">
      <w:pPr>
        <w:numPr>
          <w:ilvl w:val="0"/>
          <w:numId w:val="4"/>
        </w:numPr>
        <w:shd w:val="clear" w:color="auto" w:fill="FFFFFF"/>
        <w:spacing w:before="150" w:after="150" w:line="240" w:lineRule="auto"/>
        <w:ind w:left="495"/>
        <w:rPr>
          <w:rFonts w:ascii="Helvetica" w:eastAsia="Times New Roman" w:hAnsi="Helvetica" w:cs="Helvetica"/>
          <w:color w:val="333333"/>
          <w:sz w:val="21"/>
          <w:szCs w:val="21"/>
        </w:rPr>
      </w:pPr>
      <w:hyperlink r:id="rId9" w:history="1">
        <w:r w:rsidRPr="001B3BDA">
          <w:rPr>
            <w:rFonts w:ascii="Helvetica" w:eastAsia="Times New Roman" w:hAnsi="Helvetica" w:cs="Helvetica"/>
            <w:color w:val="804180"/>
            <w:sz w:val="21"/>
            <w:szCs w:val="21"/>
            <w:u w:val="single"/>
          </w:rPr>
          <w:t>Content Areas (Subjects)</w:t>
        </w:r>
      </w:hyperlink>
    </w:p>
    <w:p w:rsidR="001B3BDA" w:rsidRPr="001B3BDA" w:rsidRDefault="001B3BDA" w:rsidP="001B3BDA">
      <w:pPr>
        <w:shd w:val="clear" w:color="auto" w:fill="FFFFFF"/>
        <w:spacing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This page contains links to all of the public school academic subject areas. They may be helpful as you plan your home school course of study.</w:t>
      </w:r>
    </w:p>
    <w:p w:rsidR="001B3BDA" w:rsidRPr="001B3BDA" w:rsidRDefault="001B3BDA" w:rsidP="001B3BDA">
      <w:pPr>
        <w:numPr>
          <w:ilvl w:val="0"/>
          <w:numId w:val="4"/>
        </w:numPr>
        <w:shd w:val="clear" w:color="auto" w:fill="FFFFFF"/>
        <w:spacing w:before="150" w:after="150" w:line="240" w:lineRule="auto"/>
        <w:ind w:left="495"/>
        <w:rPr>
          <w:rFonts w:ascii="Helvetica" w:eastAsia="Times New Roman" w:hAnsi="Helvetica" w:cs="Helvetica"/>
          <w:color w:val="333333"/>
          <w:sz w:val="21"/>
          <w:szCs w:val="21"/>
        </w:rPr>
      </w:pPr>
      <w:hyperlink r:id="rId10" w:history="1">
        <w:r w:rsidRPr="001B3BDA">
          <w:rPr>
            <w:rFonts w:ascii="Helvetica" w:eastAsia="Times New Roman" w:hAnsi="Helvetica" w:cs="Helvetica"/>
            <w:color w:val="804180"/>
            <w:sz w:val="21"/>
            <w:szCs w:val="21"/>
            <w:u w:val="single"/>
          </w:rPr>
          <w:t xml:space="preserve">ACT </w:t>
        </w:r>
        <w:proofErr w:type="spellStart"/>
        <w:r w:rsidRPr="001B3BDA">
          <w:rPr>
            <w:rFonts w:ascii="Helvetica" w:eastAsia="Times New Roman" w:hAnsi="Helvetica" w:cs="Helvetica"/>
            <w:color w:val="804180"/>
            <w:sz w:val="21"/>
            <w:szCs w:val="21"/>
            <w:u w:val="single"/>
          </w:rPr>
          <w:t>WorkKeys</w:t>
        </w:r>
        <w:proofErr w:type="spellEnd"/>
        <w:r w:rsidRPr="001B3BDA">
          <w:rPr>
            <w:rFonts w:ascii="Helvetica" w:eastAsia="Times New Roman" w:hAnsi="Helvetica" w:cs="Helvetica"/>
            <w:color w:val="804180"/>
            <w:sz w:val="21"/>
            <w:szCs w:val="21"/>
            <w:u w:val="single"/>
          </w:rPr>
          <w:t xml:space="preserve"> Assessments and Your School</w:t>
        </w:r>
      </w:hyperlink>
    </w:p>
    <w:p w:rsidR="001B3BDA" w:rsidRPr="001B3BDA" w:rsidRDefault="001B3BDA" w:rsidP="001B3BDA">
      <w:pPr>
        <w:numPr>
          <w:ilvl w:val="0"/>
          <w:numId w:val="4"/>
        </w:numPr>
        <w:shd w:val="clear" w:color="auto" w:fill="FFFFFF"/>
        <w:spacing w:before="150" w:after="150" w:line="240" w:lineRule="auto"/>
        <w:ind w:left="495"/>
        <w:rPr>
          <w:rFonts w:ascii="Helvetica" w:eastAsia="Times New Roman" w:hAnsi="Helvetica" w:cs="Helvetica"/>
          <w:color w:val="333333"/>
          <w:sz w:val="21"/>
          <w:szCs w:val="21"/>
        </w:rPr>
      </w:pPr>
      <w:hyperlink r:id="rId11" w:history="1">
        <w:r w:rsidRPr="001B3BDA">
          <w:rPr>
            <w:rFonts w:ascii="Helvetica" w:eastAsia="Times New Roman" w:hAnsi="Helvetica" w:cs="Helvetica"/>
            <w:color w:val="804180"/>
            <w:sz w:val="21"/>
            <w:szCs w:val="21"/>
            <w:u w:val="single"/>
          </w:rPr>
          <w:t>Contact the Oregon School Boards Association (OSBA)</w:t>
        </w:r>
      </w:hyperlink>
    </w:p>
    <w:p w:rsidR="001B3BDA" w:rsidRPr="001B3BDA" w:rsidRDefault="001B3BDA" w:rsidP="001B3BDA">
      <w:pPr>
        <w:shd w:val="clear" w:color="auto" w:fill="FFFFFF"/>
        <w:spacing w:after="150" w:line="240" w:lineRule="auto"/>
        <w:ind w:left="495"/>
        <w:rPr>
          <w:rFonts w:ascii="Helvetica" w:eastAsia="Times New Roman" w:hAnsi="Helvetica" w:cs="Helvetica"/>
          <w:color w:val="333333"/>
          <w:sz w:val="21"/>
          <w:szCs w:val="21"/>
        </w:rPr>
      </w:pPr>
      <w:proofErr w:type="gramStart"/>
      <w:r w:rsidRPr="001B3BDA">
        <w:rPr>
          <w:rFonts w:ascii="Helvetica" w:eastAsia="Times New Roman" w:hAnsi="Helvetica" w:cs="Helvetica"/>
          <w:color w:val="333333"/>
          <w:sz w:val="21"/>
          <w:szCs w:val="21"/>
        </w:rPr>
        <w:t>503-588-2800 for questions about School District Policies on Home Schooling.</w:t>
      </w:r>
      <w:proofErr w:type="gramEnd"/>
    </w:p>
    <w:p w:rsidR="001B3BDA" w:rsidRPr="001B3BDA" w:rsidRDefault="001B3BDA" w:rsidP="001B3BDA">
      <w:pPr>
        <w:numPr>
          <w:ilvl w:val="0"/>
          <w:numId w:val="4"/>
        </w:numPr>
        <w:shd w:val="clear" w:color="auto" w:fill="FFFFFF"/>
        <w:spacing w:before="150" w:after="150" w:line="240" w:lineRule="auto"/>
        <w:ind w:left="495"/>
        <w:rPr>
          <w:rFonts w:ascii="Helvetica" w:eastAsia="Times New Roman" w:hAnsi="Helvetica" w:cs="Helvetica"/>
          <w:color w:val="333333"/>
          <w:sz w:val="21"/>
          <w:szCs w:val="21"/>
        </w:rPr>
      </w:pPr>
      <w:hyperlink r:id="rId12" w:history="1">
        <w:r w:rsidRPr="001B3BDA">
          <w:rPr>
            <w:rFonts w:ascii="Helvetica" w:eastAsia="Times New Roman" w:hAnsi="Helvetica" w:cs="Helvetica"/>
            <w:color w:val="804180"/>
            <w:sz w:val="21"/>
            <w:szCs w:val="21"/>
            <w:u w:val="single"/>
          </w:rPr>
          <w:t>Credit for Proficiency</w:t>
        </w:r>
      </w:hyperlink>
    </w:p>
    <w:p w:rsidR="001B3BDA" w:rsidRPr="001B3BDA" w:rsidRDefault="001B3BDA" w:rsidP="001B3BDA">
      <w:pPr>
        <w:shd w:val="clear" w:color="auto" w:fill="FFFFFF"/>
        <w:spacing w:after="150" w:line="240" w:lineRule="auto"/>
        <w:ind w:left="495"/>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The State Board of Education approved the policy "Districts may award credit based on proficiency" in December 2002 providing students the opportunity to earn graduation credits by demonstrating what they know and can do.</w:t>
      </w:r>
    </w:p>
    <w:p w:rsidR="001B3BDA" w:rsidRPr="001B3BDA" w:rsidRDefault="001B3BDA" w:rsidP="001B3BDA">
      <w:pPr>
        <w:shd w:val="clear" w:color="auto" w:fill="FFFFFF"/>
        <w:spacing w:after="150" w:line="240" w:lineRule="auto"/>
        <w:rPr>
          <w:rFonts w:ascii="Helvetica" w:eastAsia="Times New Roman" w:hAnsi="Helvetica" w:cs="Helvetica"/>
          <w:color w:val="333333"/>
          <w:sz w:val="21"/>
          <w:szCs w:val="21"/>
        </w:rPr>
      </w:pPr>
      <w:r w:rsidRPr="001B3BDA">
        <w:rPr>
          <w:rFonts w:ascii="Helvetica" w:eastAsia="Times New Roman" w:hAnsi="Helvetica" w:cs="Helvetica"/>
          <w:color w:val="333333"/>
          <w:sz w:val="21"/>
          <w:szCs w:val="21"/>
        </w:rPr>
        <w:t>For more information on this topic, </w:t>
      </w:r>
      <w:hyperlink r:id="rId13" w:history="1">
        <w:r w:rsidRPr="001B3BDA">
          <w:rPr>
            <w:rFonts w:ascii="Helvetica" w:eastAsia="Times New Roman" w:hAnsi="Helvetica" w:cs="Helvetica"/>
            <w:color w:val="804180"/>
            <w:sz w:val="21"/>
            <w:szCs w:val="21"/>
            <w:u w:val="single"/>
          </w:rPr>
          <w:t xml:space="preserve">email Annie </w:t>
        </w:r>
        <w:proofErr w:type="spellStart"/>
        <w:r w:rsidRPr="001B3BDA">
          <w:rPr>
            <w:rFonts w:ascii="Helvetica" w:eastAsia="Times New Roman" w:hAnsi="Helvetica" w:cs="Helvetica"/>
            <w:color w:val="804180"/>
            <w:sz w:val="21"/>
            <w:szCs w:val="21"/>
            <w:u w:val="single"/>
          </w:rPr>
          <w:t>Marges</w:t>
        </w:r>
        <w:proofErr w:type="spellEnd"/>
      </w:hyperlink>
      <w:r w:rsidRPr="001B3BDA">
        <w:rPr>
          <w:rFonts w:ascii="Helvetica" w:eastAsia="Times New Roman" w:hAnsi="Helvetica" w:cs="Helvetica"/>
          <w:color w:val="333333"/>
          <w:sz w:val="21"/>
          <w:szCs w:val="21"/>
        </w:rPr>
        <w:t> or call (503) 934-0787.</w:t>
      </w:r>
    </w:p>
    <w:p w:rsidR="001E2808" w:rsidRDefault="001B3BDA">
      <w:bookmarkStart w:id="0" w:name="_GoBack"/>
      <w:bookmarkEnd w:id="0"/>
    </w:p>
    <w:sectPr w:rsidR="001E2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375"/>
    <w:multiLevelType w:val="multilevel"/>
    <w:tmpl w:val="DC7A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D5214"/>
    <w:multiLevelType w:val="multilevel"/>
    <w:tmpl w:val="08FA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52664"/>
    <w:multiLevelType w:val="multilevel"/>
    <w:tmpl w:val="FDA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253C3"/>
    <w:multiLevelType w:val="multilevel"/>
    <w:tmpl w:val="4F3E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DA"/>
    <w:rsid w:val="001B3BDA"/>
    <w:rsid w:val="002A226E"/>
    <w:rsid w:val="00E7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37340">
      <w:bodyDiv w:val="1"/>
      <w:marLeft w:val="0"/>
      <w:marRight w:val="0"/>
      <w:marTop w:val="0"/>
      <w:marBottom w:val="0"/>
      <w:divBdr>
        <w:top w:val="none" w:sz="0" w:space="0" w:color="auto"/>
        <w:left w:val="none" w:sz="0" w:space="0" w:color="auto"/>
        <w:bottom w:val="none" w:sz="0" w:space="0" w:color="auto"/>
        <w:right w:val="none" w:sz="0" w:space="0" w:color="auto"/>
      </w:divBdr>
      <w:divsChild>
        <w:div w:id="2099055084">
          <w:marLeft w:val="-225"/>
          <w:marRight w:val="-225"/>
          <w:marTop w:val="0"/>
          <w:marBottom w:val="0"/>
          <w:divBdr>
            <w:top w:val="none" w:sz="0" w:space="0" w:color="auto"/>
            <w:left w:val="none" w:sz="0" w:space="0" w:color="auto"/>
            <w:bottom w:val="none" w:sz="0" w:space="0" w:color="auto"/>
            <w:right w:val="none" w:sz="0" w:space="0" w:color="auto"/>
          </w:divBdr>
          <w:divsChild>
            <w:div w:id="214466285">
              <w:marLeft w:val="0"/>
              <w:marRight w:val="0"/>
              <w:marTop w:val="0"/>
              <w:marBottom w:val="0"/>
              <w:divBdr>
                <w:top w:val="none" w:sz="0" w:space="0" w:color="auto"/>
                <w:left w:val="none" w:sz="0" w:space="0" w:color="auto"/>
                <w:bottom w:val="none" w:sz="0" w:space="0" w:color="auto"/>
                <w:right w:val="none" w:sz="0" w:space="0" w:color="auto"/>
              </w:divBdr>
              <w:divsChild>
                <w:div w:id="20883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4137">
          <w:marLeft w:val="-225"/>
          <w:marRight w:val="-225"/>
          <w:marTop w:val="0"/>
          <w:marBottom w:val="0"/>
          <w:divBdr>
            <w:top w:val="none" w:sz="0" w:space="0" w:color="auto"/>
            <w:left w:val="none" w:sz="0" w:space="0" w:color="auto"/>
            <w:bottom w:val="none" w:sz="0" w:space="0" w:color="auto"/>
            <w:right w:val="none" w:sz="0" w:space="0" w:color="auto"/>
          </w:divBdr>
          <w:divsChild>
            <w:div w:id="763527121">
              <w:marLeft w:val="0"/>
              <w:marRight w:val="0"/>
              <w:marTop w:val="0"/>
              <w:marBottom w:val="0"/>
              <w:divBdr>
                <w:top w:val="none" w:sz="0" w:space="0" w:color="auto"/>
                <w:left w:val="none" w:sz="0" w:space="0" w:color="auto"/>
                <w:bottom w:val="none" w:sz="0" w:space="0" w:color="auto"/>
                <w:right w:val="none" w:sz="0" w:space="0" w:color="auto"/>
              </w:divBdr>
              <w:divsChild>
                <w:div w:id="9350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learning-options/HomeSchool/Documents/2015-16-Home-School-Registrations-by-ESD.xlsx" TargetMode="External"/><Relationship Id="rId13" Type="http://schemas.openxmlformats.org/officeDocument/2006/relationships/hyperlink" Target="mailto:annie.marges@state.or.us" TargetMode="External"/><Relationship Id="rId3" Type="http://schemas.microsoft.com/office/2007/relationships/stylesWithEffects" Target="stylesWithEffects.xml"/><Relationship Id="rId7" Type="http://schemas.openxmlformats.org/officeDocument/2006/relationships/hyperlink" Target="http://arcweb.sos.state.or.us/pages/rules/oars_500/oar_581/581_021.html" TargetMode="External"/><Relationship Id="rId12" Type="http://schemas.openxmlformats.org/officeDocument/2006/relationships/hyperlink" Target="https://www.oregon.gov/ode/students-and-family/OregonDiploma/Pages/Credit-Op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legislature.gov/bills_laws/ors/ors339.html" TargetMode="External"/><Relationship Id="rId11" Type="http://schemas.openxmlformats.org/officeDocument/2006/relationships/hyperlink" Target="http://www.osba.org/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regon.gov/ode/learning-options/HomeSchool/Documents/high-schools--workkeys-ncrc-final.docx" TargetMode="External"/><Relationship Id="rId4" Type="http://schemas.openxmlformats.org/officeDocument/2006/relationships/settings" Target="settings.xml"/><Relationship Id="rId9" Type="http://schemas.openxmlformats.org/officeDocument/2006/relationships/hyperlink" Target="https://www.oregon.gov/ode/educator-resources/standards/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Welcome</vt:lpstr>
      <vt:lpstr>    Laws</vt:lpstr>
      <vt:lpstr>        ORS Chapter 339 - School Attendance; Admission; Discipline; Safety</vt:lpstr>
      <vt:lpstr>        Oregon Administrative Rules (OAR), Division 21 - School Governance</vt:lpstr>
      <vt:lpstr>        Data</vt:lpstr>
      <vt:lpstr>        Resources</vt:lpstr>
    </vt:vector>
  </TitlesOfParts>
  <Company>Microsoft</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Hileman</dc:creator>
  <cp:lastModifiedBy>Taylor Hileman</cp:lastModifiedBy>
  <cp:revision>1</cp:revision>
  <dcterms:created xsi:type="dcterms:W3CDTF">2020-10-01T14:52:00Z</dcterms:created>
  <dcterms:modified xsi:type="dcterms:W3CDTF">2020-10-01T14:53:00Z</dcterms:modified>
</cp:coreProperties>
</file>